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00" w:beforeAutospacing="1" w:after="100" w:afterAutospacing="1" w:line="240" w:lineRule="auto"/>
        <w:jc w:val="right"/>
        <w:rPr>
          <w:rFonts w:eastAsia="Times New Roman" w:cs="Arial"/>
          <w:lang w:eastAsia="en-GB"/>
        </w:rPr>
      </w:pPr>
      <w:r>
        <w:rPr>
          <w:rFonts w:eastAsia="Times New Roman" w:cs="Arial"/>
          <w:lang w:eastAsia="en-GB"/>
        </w:rPr>
        <w:t>Claim: [claim number]</w:t>
      </w:r>
    </w:p>
    <w:p>
      <w:pPr>
        <w:spacing w:before="100" w:beforeAutospacing="1" w:after="100" w:afterAutospacing="1" w:line="240" w:lineRule="auto"/>
        <w:rPr>
          <w:rFonts w:eastAsia="Times New Roman" w:cs="Arial"/>
          <w:u w:val="single"/>
          <w:lang w:eastAsia="en-GB"/>
        </w:rPr>
      </w:pPr>
      <w:r>
        <w:rPr>
          <w:rFonts w:eastAsia="Times New Roman" w:cs="Arial"/>
          <w:u w:val="single"/>
          <w:lang w:eastAsia="en-GB"/>
        </w:rPr>
        <w:t>IN THE HIGH COURT OF JUSTICE</w:t>
      </w:r>
    </w:p>
    <w:p>
      <w:pPr>
        <w:spacing w:before="100" w:beforeAutospacing="1" w:after="100" w:afterAutospacing="1" w:line="240" w:lineRule="auto"/>
        <w:rPr>
          <w:rFonts w:eastAsia="Times New Roman" w:cs="Arial"/>
          <w:u w:val="single"/>
          <w:lang w:eastAsia="en-GB"/>
        </w:rPr>
      </w:pPr>
      <w:r>
        <w:rPr>
          <w:rFonts w:cs="Arial"/>
          <w:u w:val="single"/>
        </w:rPr>
        <w:t>BUSINESS AND PROPERTY COURTS OF ENGLAND AND WALES</w:t>
      </w:r>
    </w:p>
    <w:p>
      <w:pPr>
        <w:spacing w:before="100" w:beforeAutospacing="1" w:after="100" w:afterAutospacing="1" w:line="240" w:lineRule="auto"/>
        <w:rPr>
          <w:rFonts w:eastAsia="Times New Roman" w:cs="Arial"/>
          <w:u w:val="single"/>
          <w:lang w:eastAsia="en-GB"/>
        </w:rPr>
      </w:pPr>
      <w:r>
        <w:rPr>
          <w:rFonts w:eastAsia="Times New Roman" w:cs="Arial"/>
          <w:u w:val="single"/>
          <w:lang w:eastAsia="en-GB"/>
        </w:rPr>
        <w:t>CHANCERY DIVISION</w:t>
      </w:r>
    </w:p>
    <w:p>
      <w:pPr>
        <w:spacing w:before="100" w:beforeAutospacing="1" w:after="100" w:afterAutospacing="1" w:line="240" w:lineRule="auto"/>
        <w:rPr>
          <w:rFonts w:eastAsia="Times New Roman" w:cs="Arial"/>
          <w:u w:val="single"/>
          <w:lang w:eastAsia="en-GB"/>
        </w:rPr>
      </w:pPr>
      <w:r>
        <w:rPr>
          <w:rFonts w:eastAsia="Times New Roman" w:cs="Arial"/>
          <w:u w:val="single"/>
          <w:lang w:eastAsia="en-GB"/>
        </w:rPr>
        <w:t>INTELLECTUAL PROPERTY ENTERPRISE COURT</w:t>
      </w:r>
    </w:p>
    <w:p>
      <w:pPr>
        <w:spacing w:before="100" w:beforeAutospacing="1" w:after="100" w:afterAutospacing="1" w:line="240" w:lineRule="auto"/>
        <w:rPr>
          <w:rFonts w:eastAsia="Times New Roman" w:cs="Arial"/>
          <w:lang w:eastAsia="en-GB"/>
        </w:rPr>
      </w:pPr>
      <w:r>
        <w:rPr>
          <w:rFonts w:eastAsia="Times New Roman" w:cs="Arial"/>
          <w:lang w:eastAsia="en-GB"/>
        </w:rPr>
        <w:t xml:space="preserve">B E T W E </w:t>
      </w:r>
      <w:proofErr w:type="spellStart"/>
      <w:r>
        <w:rPr>
          <w:rFonts w:eastAsia="Times New Roman" w:cs="Arial"/>
          <w:lang w:eastAsia="en-GB"/>
        </w:rPr>
        <w:t>E</w:t>
      </w:r>
      <w:proofErr w:type="spellEnd"/>
      <w:r>
        <w:rPr>
          <w:rFonts w:eastAsia="Times New Roman" w:cs="Arial"/>
          <w:lang w:eastAsia="en-GB"/>
        </w:rPr>
        <w:t xml:space="preserve"> N </w:t>
      </w:r>
    </w:p>
    <w:p>
      <w:pPr>
        <w:spacing w:before="100" w:beforeAutospacing="1" w:after="100" w:afterAutospacing="1" w:line="240" w:lineRule="auto"/>
        <w:jc w:val="center"/>
        <w:rPr>
          <w:rFonts w:eastAsia="Times New Roman" w:cs="Arial"/>
          <w:b/>
          <w:lang w:eastAsia="en-GB"/>
        </w:rPr>
      </w:pPr>
      <w:r>
        <w:rPr>
          <w:rFonts w:eastAsia="Times New Roman" w:cs="Arial"/>
          <w:b/>
          <w:lang w:eastAsia="en-GB"/>
        </w:rPr>
        <w:t>[Party A]</w:t>
      </w:r>
    </w:p>
    <w:p>
      <w:pPr>
        <w:spacing w:before="100" w:beforeAutospacing="1" w:after="100" w:afterAutospacing="1" w:line="240" w:lineRule="auto"/>
        <w:jc w:val="right"/>
        <w:rPr>
          <w:rFonts w:eastAsia="Times New Roman" w:cs="Arial"/>
          <w:u w:val="single"/>
          <w:lang w:eastAsia="en-GB"/>
        </w:rPr>
      </w:pPr>
      <w:r>
        <w:rPr>
          <w:rFonts w:eastAsia="Times New Roman" w:cs="Arial"/>
          <w:u w:val="single"/>
          <w:lang w:eastAsia="en-GB"/>
        </w:rPr>
        <w:t>Claimant / Applicant</w:t>
      </w:r>
    </w:p>
    <w:p>
      <w:pPr>
        <w:spacing w:before="100" w:beforeAutospacing="1" w:after="100" w:afterAutospacing="1" w:line="240" w:lineRule="auto"/>
        <w:jc w:val="center"/>
        <w:rPr>
          <w:rFonts w:eastAsia="Times New Roman" w:cs="Arial"/>
          <w:lang w:eastAsia="en-GB"/>
        </w:rPr>
      </w:pPr>
      <w:r>
        <w:rPr>
          <w:rFonts w:eastAsia="Times New Roman" w:cs="Arial"/>
          <w:lang w:eastAsia="en-GB"/>
        </w:rPr>
        <w:br/>
        <w:t>-v-</w:t>
      </w:r>
      <w:r>
        <w:rPr>
          <w:rFonts w:eastAsia="Times New Roman" w:cs="Arial"/>
          <w:lang w:eastAsia="en-GB"/>
        </w:rPr>
        <w:br/>
      </w:r>
      <w:r>
        <w:rPr>
          <w:rFonts w:eastAsia="Times New Roman" w:cs="Arial"/>
          <w:lang w:eastAsia="en-GB"/>
        </w:rPr>
        <w:br/>
      </w:r>
      <w:r>
        <w:rPr>
          <w:rFonts w:eastAsia="Times New Roman" w:cs="Arial"/>
          <w:b/>
          <w:lang w:eastAsia="en-GB"/>
        </w:rPr>
        <w:t>[Party B]</w:t>
      </w:r>
    </w:p>
    <w:p>
      <w:pPr>
        <w:spacing w:before="100" w:beforeAutospacing="1" w:after="100" w:afterAutospacing="1" w:line="240" w:lineRule="auto"/>
        <w:jc w:val="right"/>
        <w:rPr>
          <w:rFonts w:eastAsia="Times New Roman" w:cs="Arial"/>
          <w:u w:val="single"/>
          <w:lang w:eastAsia="en-GB"/>
        </w:rPr>
      </w:pPr>
      <w:r>
        <w:rPr>
          <w:rFonts w:eastAsia="Times New Roman" w:cs="Arial"/>
          <w:u w:val="single"/>
          <w:lang w:eastAsia="en-GB"/>
        </w:rPr>
        <w:t>Defendant / Respondent</w:t>
      </w:r>
    </w:p>
    <w:p>
      <w:pPr>
        <w:spacing w:before="100" w:beforeAutospacing="1" w:after="100" w:afterAutospacing="1" w:line="240" w:lineRule="auto"/>
        <w:jc w:val="center"/>
        <w:rPr>
          <w:rFonts w:eastAsia="Times New Roman" w:cs="Arial"/>
          <w:lang w:eastAsia="en-GB"/>
        </w:rPr>
      </w:pPr>
    </w:p>
    <w:p>
      <w:pPr>
        <w:spacing w:before="100" w:beforeAutospacing="1" w:after="100" w:afterAutospacing="1" w:line="240" w:lineRule="auto"/>
        <w:jc w:val="center"/>
        <w:rPr>
          <w:rFonts w:eastAsia="Times New Roman" w:cs="Arial"/>
          <w:b/>
          <w:bCs/>
          <w:lang w:eastAsia="en-GB"/>
        </w:rPr>
      </w:pPr>
      <w:r>
        <w:rPr>
          <w:rFonts w:eastAsia="Times New Roman" w:cs="Arial"/>
          <w:b/>
          <w:bCs/>
          <w:lang w:eastAsia="en-GB"/>
        </w:rPr>
        <w:t>SKELETON ARGUMENT OF THE CLAIMANT</w:t>
      </w:r>
    </w:p>
    <w:p>
      <w:pPr>
        <w:spacing w:before="100" w:beforeAutospacing="1" w:after="100" w:afterAutospacing="1" w:line="240" w:lineRule="auto"/>
        <w:jc w:val="center"/>
        <w:rPr>
          <w:rFonts w:eastAsia="Times New Roman" w:cs="Arial"/>
          <w:b/>
          <w:bCs/>
          <w:lang w:eastAsia="en-GB"/>
        </w:rPr>
      </w:pPr>
      <w:r>
        <w:rPr>
          <w:rFonts w:eastAsia="Times New Roman" w:cs="Arial"/>
          <w:b/>
          <w:bCs/>
          <w:lang w:eastAsia="en-GB"/>
        </w:rPr>
        <w:t>APPLICATION FOR SUMMARY JUDGMENT</w:t>
      </w:r>
    </w:p>
    <w:p>
      <w:pPr>
        <w:spacing w:before="100" w:beforeAutospacing="1" w:after="100" w:afterAutospacing="1" w:line="240" w:lineRule="auto"/>
        <w:jc w:val="center"/>
        <w:rPr>
          <w:rFonts w:eastAsia="Times New Roman" w:cs="Arial"/>
          <w:lang w:eastAsia="en-GB"/>
        </w:rPr>
      </w:pPr>
      <w:r>
        <w:rPr>
          <w:rFonts w:eastAsia="Times New Roman" w:cs="Arial"/>
          <w:b/>
          <w:bCs/>
          <w:lang w:eastAsia="en-GB"/>
        </w:rPr>
        <w:t>HEARING ON [DATE]</w:t>
      </w:r>
      <w:r>
        <w:rPr>
          <w:rFonts w:eastAsia="Times New Roman" w:cs="Arial"/>
          <w:lang w:eastAsia="en-GB"/>
        </w:rPr>
        <w:br/>
      </w:r>
    </w:p>
    <w:p>
      <w:pPr>
        <w:spacing w:before="100" w:beforeAutospacing="1" w:after="100" w:afterAutospacing="1" w:line="240" w:lineRule="auto"/>
        <w:jc w:val="center"/>
        <w:rPr>
          <w:rFonts w:eastAsia="Times New Roman" w:cs="Arial"/>
          <w:lang w:eastAsia="en-GB"/>
        </w:rPr>
      </w:pPr>
      <w:r>
        <w:rPr>
          <w:rFonts w:eastAsia="Times New Roman" w:cs="Arial"/>
          <w:lang w:eastAsia="en-GB"/>
        </w:rPr>
        <w:t>Before [Mr/Mrs Justice [Name]] OR [HHJ HACON]</w:t>
      </w:r>
    </w:p>
    <w:p>
      <w:pPr>
        <w:spacing w:after="0" w:line="360" w:lineRule="auto"/>
        <w:rPr>
          <w:rFonts w:eastAsia="Times New Roman" w:cs="Arial"/>
          <w:lang w:eastAsia="en-GB"/>
        </w:rPr>
      </w:pPr>
      <w:r>
        <w:rPr>
          <w:rFonts w:eastAsia="Times New Roman" w:cs="Arial"/>
          <w:i/>
          <w:iCs/>
          <w:u w:val="single"/>
          <w:lang w:eastAsia="en-GB"/>
        </w:rPr>
        <w:t xml:space="preserve">Preliminaries </w:t>
      </w:r>
    </w:p>
    <w:p>
      <w:pPr>
        <w:numPr>
          <w:ilvl w:val="0"/>
          <w:numId w:val="6"/>
        </w:numPr>
        <w:spacing w:after="0" w:line="360" w:lineRule="auto"/>
        <w:rPr>
          <w:rFonts w:eastAsia="Times New Roman" w:cs="Arial"/>
          <w:lang w:eastAsia="en-GB"/>
        </w:rPr>
      </w:pPr>
      <w:r>
        <w:rPr>
          <w:rFonts w:eastAsia="Times New Roman" w:cs="Arial"/>
          <w:lang w:eastAsia="en-GB"/>
        </w:rPr>
        <w:t>This is the first hearing of an application made under an Application Notice dated [date] of the Claimant, Party A, for summary judgment on the claim for damages in the sum of £10.</w:t>
      </w:r>
    </w:p>
    <w:p>
      <w:pPr>
        <w:numPr>
          <w:ilvl w:val="0"/>
          <w:numId w:val="6"/>
        </w:numPr>
        <w:spacing w:after="0" w:line="360" w:lineRule="auto"/>
        <w:rPr>
          <w:rFonts w:eastAsia="Times New Roman" w:cs="Arial"/>
          <w:lang w:eastAsia="en-GB"/>
        </w:rPr>
      </w:pPr>
      <w:r>
        <w:rPr>
          <w:rFonts w:eastAsia="Times New Roman" w:cs="Arial"/>
          <w:lang w:eastAsia="en-GB"/>
        </w:rPr>
        <w:t>The issue before the Court is whether the Claimant should be granted summary judgment such that judgment is entered in its favour on the Claim.</w:t>
      </w:r>
    </w:p>
    <w:p>
      <w:pPr>
        <w:numPr>
          <w:ilvl w:val="0"/>
          <w:numId w:val="6"/>
        </w:numPr>
        <w:spacing w:after="0" w:line="360" w:lineRule="auto"/>
        <w:rPr>
          <w:rFonts w:eastAsia="Times New Roman" w:cs="Arial"/>
          <w:lang w:eastAsia="en-GB"/>
        </w:rPr>
      </w:pPr>
      <w:r>
        <w:rPr>
          <w:rFonts w:eastAsia="Times New Roman" w:cs="Arial"/>
          <w:lang w:eastAsia="en-GB"/>
        </w:rPr>
        <w:t>The causes of action of the claimant are negligent misrepresentation and fraudulent misrepresentation.</w:t>
      </w:r>
    </w:p>
    <w:p>
      <w:pPr>
        <w:spacing w:after="0" w:line="360" w:lineRule="auto"/>
        <w:ind w:left="720"/>
        <w:rPr>
          <w:rFonts w:eastAsia="Times New Roman" w:cs="Arial"/>
          <w:lang w:eastAsia="en-GB"/>
        </w:rPr>
      </w:pPr>
    </w:p>
    <w:p>
      <w:pPr>
        <w:spacing w:after="0" w:line="360" w:lineRule="auto"/>
        <w:rPr>
          <w:rFonts w:eastAsia="Times New Roman" w:cs="Arial"/>
          <w:lang w:eastAsia="en-GB"/>
        </w:rPr>
      </w:pPr>
      <w:r>
        <w:rPr>
          <w:rFonts w:eastAsia="Times New Roman" w:cs="Arial"/>
          <w:i/>
          <w:iCs/>
          <w:u w:val="single"/>
          <w:lang w:eastAsia="en-GB"/>
        </w:rPr>
        <w:t>Time Estimate</w:t>
      </w:r>
    </w:p>
    <w:p>
      <w:pPr>
        <w:numPr>
          <w:ilvl w:val="0"/>
          <w:numId w:val="6"/>
        </w:numPr>
        <w:spacing w:after="0" w:line="360" w:lineRule="auto"/>
        <w:rPr>
          <w:rFonts w:eastAsia="Times New Roman" w:cs="Arial"/>
          <w:lang w:eastAsia="en-GB"/>
        </w:rPr>
      </w:pPr>
      <w:r>
        <w:rPr>
          <w:rFonts w:eastAsia="Times New Roman" w:cs="Arial"/>
          <w:lang w:eastAsia="en-GB"/>
        </w:rPr>
        <w:t>The Applicant estimates that pre-reading will require [30] minutes and time for the hearing of up to [1] hour.</w:t>
      </w:r>
    </w:p>
    <w:p>
      <w:pPr>
        <w:spacing w:after="0" w:line="360" w:lineRule="auto"/>
        <w:ind w:left="720"/>
        <w:rPr>
          <w:rFonts w:eastAsia="Times New Roman" w:cs="Arial"/>
          <w:lang w:eastAsia="en-GB"/>
        </w:rPr>
      </w:pPr>
    </w:p>
    <w:p>
      <w:pPr>
        <w:spacing w:after="0" w:line="360" w:lineRule="auto"/>
        <w:rPr>
          <w:rFonts w:eastAsia="Times New Roman" w:cs="Arial"/>
          <w:lang w:eastAsia="en-GB"/>
        </w:rPr>
      </w:pPr>
      <w:r>
        <w:rPr>
          <w:rFonts w:eastAsia="Times New Roman" w:cs="Arial"/>
          <w:i/>
          <w:iCs/>
          <w:u w:val="single"/>
          <w:lang w:eastAsia="en-GB"/>
        </w:rPr>
        <w:lastRenderedPageBreak/>
        <w:t>Bundles</w:t>
      </w:r>
    </w:p>
    <w:p>
      <w:pPr>
        <w:numPr>
          <w:ilvl w:val="0"/>
          <w:numId w:val="6"/>
        </w:numPr>
        <w:spacing w:after="0" w:line="360" w:lineRule="auto"/>
        <w:rPr>
          <w:rFonts w:eastAsia="Times New Roman" w:cs="Arial"/>
          <w:lang w:eastAsia="en-GB"/>
        </w:rPr>
      </w:pPr>
      <w:r>
        <w:rPr>
          <w:rFonts w:eastAsia="Times New Roman" w:cs="Arial"/>
          <w:lang w:eastAsia="en-GB"/>
        </w:rPr>
        <w:t xml:space="preserve">The Court should have received the Application Bundle lodged by the Claimant, which contains: </w:t>
      </w:r>
    </w:p>
    <w:p>
      <w:pPr>
        <w:numPr>
          <w:ilvl w:val="1"/>
          <w:numId w:val="6"/>
        </w:numPr>
        <w:spacing w:after="0" w:line="360" w:lineRule="auto"/>
        <w:rPr>
          <w:rFonts w:eastAsia="Times New Roman" w:cs="Arial"/>
          <w:lang w:eastAsia="en-GB"/>
        </w:rPr>
      </w:pPr>
      <w:r>
        <w:rPr>
          <w:rFonts w:eastAsia="Times New Roman" w:cs="Arial"/>
          <w:lang w:eastAsia="en-GB"/>
        </w:rPr>
        <w:t>Application Notice dated [date] (Tab 1);</w:t>
      </w:r>
    </w:p>
    <w:p>
      <w:pPr>
        <w:numPr>
          <w:ilvl w:val="1"/>
          <w:numId w:val="6"/>
        </w:numPr>
        <w:spacing w:after="0" w:line="360" w:lineRule="auto"/>
        <w:rPr>
          <w:rFonts w:eastAsia="Times New Roman" w:cs="Arial"/>
          <w:lang w:eastAsia="en-GB"/>
        </w:rPr>
      </w:pPr>
      <w:r>
        <w:rPr>
          <w:rFonts w:eastAsia="Times New Roman" w:cs="Arial"/>
          <w:lang w:eastAsia="en-GB"/>
        </w:rPr>
        <w:t>Draft Order (Tab 2);</w:t>
      </w:r>
    </w:p>
    <w:p>
      <w:pPr>
        <w:numPr>
          <w:ilvl w:val="1"/>
          <w:numId w:val="6"/>
        </w:numPr>
        <w:spacing w:after="0" w:line="360" w:lineRule="auto"/>
        <w:rPr>
          <w:rFonts w:eastAsia="Times New Roman" w:cs="Arial"/>
          <w:lang w:eastAsia="en-GB"/>
        </w:rPr>
      </w:pPr>
      <w:r>
        <w:rPr>
          <w:rFonts w:eastAsia="Times New Roman" w:cs="Arial"/>
          <w:lang w:eastAsia="en-GB"/>
        </w:rPr>
        <w:t>Claim Form (Tab 3);</w:t>
      </w:r>
    </w:p>
    <w:p>
      <w:pPr>
        <w:numPr>
          <w:ilvl w:val="1"/>
          <w:numId w:val="6"/>
        </w:numPr>
        <w:spacing w:after="0" w:line="360" w:lineRule="auto"/>
        <w:rPr>
          <w:rFonts w:eastAsia="Times New Roman" w:cs="Arial"/>
          <w:lang w:eastAsia="en-GB"/>
        </w:rPr>
      </w:pPr>
      <w:proofErr w:type="gramStart"/>
      <w:r>
        <w:rPr>
          <w:rFonts w:eastAsia="Times New Roman" w:cs="Arial"/>
          <w:lang w:eastAsia="en-GB"/>
        </w:rPr>
        <w:t>Particulars of</w:t>
      </w:r>
      <w:proofErr w:type="gramEnd"/>
      <w:r>
        <w:rPr>
          <w:rFonts w:eastAsia="Times New Roman" w:cs="Arial"/>
          <w:lang w:eastAsia="en-GB"/>
        </w:rPr>
        <w:t xml:space="preserve"> Claim (Tab 4);</w:t>
      </w:r>
    </w:p>
    <w:p>
      <w:pPr>
        <w:numPr>
          <w:ilvl w:val="1"/>
          <w:numId w:val="6"/>
        </w:numPr>
        <w:spacing w:after="0" w:line="360" w:lineRule="auto"/>
        <w:rPr>
          <w:rFonts w:eastAsia="Times New Roman" w:cs="Arial"/>
          <w:lang w:eastAsia="en-GB"/>
        </w:rPr>
      </w:pPr>
      <w:r>
        <w:rPr>
          <w:rFonts w:eastAsia="Times New Roman" w:cs="Arial"/>
          <w:lang w:eastAsia="en-GB"/>
        </w:rPr>
        <w:t>Defence (Tab 5);</w:t>
      </w:r>
    </w:p>
    <w:p>
      <w:pPr>
        <w:numPr>
          <w:ilvl w:val="1"/>
          <w:numId w:val="6"/>
        </w:numPr>
        <w:spacing w:after="0" w:line="360" w:lineRule="auto"/>
        <w:rPr>
          <w:rFonts w:eastAsia="Times New Roman" w:cs="Arial"/>
          <w:lang w:eastAsia="en-GB"/>
        </w:rPr>
      </w:pPr>
      <w:r>
        <w:rPr>
          <w:rFonts w:eastAsia="Times New Roman" w:cs="Arial"/>
          <w:lang w:eastAsia="en-GB"/>
        </w:rPr>
        <w:t>Reply to Defence (Tab 6);</w:t>
      </w:r>
    </w:p>
    <w:p>
      <w:pPr>
        <w:numPr>
          <w:ilvl w:val="1"/>
          <w:numId w:val="6"/>
        </w:numPr>
        <w:spacing w:after="0" w:line="360" w:lineRule="auto"/>
        <w:rPr>
          <w:rFonts w:eastAsia="Times New Roman" w:cs="Arial"/>
          <w:lang w:eastAsia="en-GB"/>
        </w:rPr>
      </w:pPr>
      <w:r>
        <w:rPr>
          <w:rFonts w:eastAsia="Times New Roman" w:cs="Arial"/>
          <w:lang w:eastAsia="en-GB"/>
        </w:rPr>
        <w:t>Response to Request for Further Information and Clarification dated [date] (Tab 7);</w:t>
      </w:r>
    </w:p>
    <w:p>
      <w:pPr>
        <w:numPr>
          <w:ilvl w:val="1"/>
          <w:numId w:val="6"/>
        </w:numPr>
        <w:spacing w:after="0" w:line="360" w:lineRule="auto"/>
        <w:rPr>
          <w:rFonts w:eastAsia="Times New Roman" w:cs="Arial"/>
          <w:lang w:eastAsia="en-GB"/>
        </w:rPr>
      </w:pPr>
      <w:r>
        <w:rPr>
          <w:rFonts w:eastAsia="Times New Roman" w:cs="Arial"/>
          <w:lang w:eastAsia="en-GB"/>
        </w:rPr>
        <w:t>Witness Statement of [name] dated [date] (Tab 8);</w:t>
      </w:r>
    </w:p>
    <w:p>
      <w:pPr>
        <w:numPr>
          <w:ilvl w:val="1"/>
          <w:numId w:val="6"/>
        </w:numPr>
        <w:spacing w:after="0" w:line="360" w:lineRule="auto"/>
        <w:rPr>
          <w:rFonts w:eastAsia="Times New Roman" w:cs="Arial"/>
          <w:lang w:eastAsia="en-GB"/>
        </w:rPr>
      </w:pPr>
      <w:r>
        <w:rPr>
          <w:rFonts w:eastAsia="Times New Roman" w:cs="Arial"/>
          <w:lang w:eastAsia="en-GB"/>
        </w:rPr>
        <w:t>Exhibit [reference] to the Witness Statement of [name] (Tab 9);</w:t>
      </w:r>
    </w:p>
    <w:p>
      <w:pPr>
        <w:numPr>
          <w:ilvl w:val="1"/>
          <w:numId w:val="6"/>
        </w:numPr>
        <w:spacing w:after="0" w:line="360" w:lineRule="auto"/>
        <w:rPr>
          <w:rFonts w:eastAsia="Times New Roman" w:cs="Arial"/>
          <w:lang w:eastAsia="en-GB"/>
        </w:rPr>
      </w:pPr>
      <w:r>
        <w:rPr>
          <w:rFonts w:eastAsia="Times New Roman" w:cs="Arial"/>
          <w:lang w:eastAsia="en-GB"/>
        </w:rPr>
        <w:t>correspondence (Tab 10);</w:t>
      </w:r>
    </w:p>
    <w:p>
      <w:pPr>
        <w:numPr>
          <w:ilvl w:val="1"/>
          <w:numId w:val="6"/>
        </w:numPr>
        <w:spacing w:after="0" w:line="360" w:lineRule="auto"/>
        <w:rPr>
          <w:rFonts w:eastAsia="Times New Roman" w:cs="Arial"/>
          <w:lang w:eastAsia="en-GB"/>
        </w:rPr>
      </w:pPr>
      <w:r>
        <w:rPr>
          <w:rFonts w:eastAsia="Times New Roman" w:cs="Arial"/>
          <w:lang w:eastAsia="en-GB"/>
        </w:rPr>
        <w:t>Certificate of service - Application Notice (Tab 11).</w:t>
      </w:r>
    </w:p>
    <w:p>
      <w:pPr>
        <w:numPr>
          <w:ilvl w:val="0"/>
          <w:numId w:val="6"/>
        </w:numPr>
        <w:spacing w:after="0" w:line="360" w:lineRule="auto"/>
        <w:rPr>
          <w:rFonts w:eastAsia="Times New Roman" w:cs="Arial"/>
          <w:lang w:eastAsia="en-GB"/>
        </w:rPr>
      </w:pPr>
      <w:r>
        <w:rPr>
          <w:rFonts w:eastAsia="Times New Roman" w:cs="Arial"/>
          <w:lang w:eastAsia="en-GB"/>
        </w:rPr>
        <w:t>Tabs in the Hearing Bundle in the format “Tab [Tab Number]</w:t>
      </w:r>
      <w:proofErr w:type="gramStart"/>
      <w:r>
        <w:rPr>
          <w:rFonts w:eastAsia="Times New Roman" w:cs="Arial"/>
          <w:lang w:eastAsia="en-GB"/>
        </w:rPr>
        <w:t>/[</w:t>
      </w:r>
      <w:proofErr w:type="gramEnd"/>
      <w:r>
        <w:rPr>
          <w:rFonts w:eastAsia="Times New Roman" w:cs="Arial"/>
          <w:lang w:eastAsia="en-GB"/>
        </w:rPr>
        <w:t xml:space="preserve">page number]/[paragraph]” below. </w:t>
      </w:r>
    </w:p>
    <w:p>
      <w:pPr>
        <w:numPr>
          <w:ilvl w:val="0"/>
          <w:numId w:val="6"/>
        </w:numPr>
        <w:spacing w:after="0" w:line="360" w:lineRule="auto"/>
        <w:rPr>
          <w:rFonts w:eastAsia="Times New Roman" w:cs="Arial"/>
          <w:lang w:eastAsia="en-GB"/>
        </w:rPr>
      </w:pPr>
      <w:bookmarkStart w:id="0" w:name="_GoBack"/>
      <w:bookmarkEnd w:id="0"/>
      <w:r>
        <w:rPr>
          <w:rFonts w:eastAsia="Times New Roman" w:cs="Arial"/>
          <w:lang w:eastAsia="en-GB"/>
        </w:rPr>
        <w:t xml:space="preserve">Accordingly </w:t>
      </w:r>
      <w:r>
        <w:rPr>
          <w:rFonts w:eastAsia="Times New Roman" w:cs="Arial"/>
          <w:lang w:eastAsia="en-GB"/>
        </w:rPr>
        <w:t>“</w:t>
      </w:r>
      <w:proofErr w:type="spellStart"/>
      <w:r>
        <w:rPr>
          <w:rFonts w:eastAsia="Times New Roman" w:cs="Arial"/>
          <w:b/>
          <w:lang w:eastAsia="en-GB"/>
        </w:rPr>
        <w:t>T3</w:t>
      </w:r>
      <w:proofErr w:type="spellEnd"/>
      <w:r>
        <w:rPr>
          <w:rFonts w:eastAsia="Times New Roman" w:cs="Arial"/>
          <w:b/>
          <w:lang w:eastAsia="en-GB"/>
        </w:rPr>
        <w:t>/7/8</w:t>
      </w:r>
      <w:r>
        <w:rPr>
          <w:rFonts w:eastAsia="Times New Roman" w:cs="Arial"/>
          <w:lang w:eastAsia="en-GB"/>
        </w:rPr>
        <w:t xml:space="preserve">” </w:t>
      </w:r>
      <w:r>
        <w:rPr>
          <w:rFonts w:eastAsia="Times New Roman" w:cs="Arial"/>
          <w:lang w:eastAsia="en-GB"/>
        </w:rPr>
        <w:t>is a reference to Tab 3, page 7, paragraph 8. Reference to Tab 3 is referred to as “</w:t>
      </w:r>
      <w:proofErr w:type="spellStart"/>
      <w:r>
        <w:rPr>
          <w:rFonts w:eastAsia="Times New Roman" w:cs="Arial"/>
          <w:lang w:eastAsia="en-GB"/>
        </w:rPr>
        <w:t>T3</w:t>
      </w:r>
      <w:proofErr w:type="spellEnd"/>
      <w:r>
        <w:rPr>
          <w:rFonts w:eastAsia="Times New Roman" w:cs="Arial"/>
          <w:lang w:eastAsia="en-GB"/>
        </w:rPr>
        <w:t>” and tab 3, page 7 is referred to as “</w:t>
      </w:r>
      <w:proofErr w:type="spellStart"/>
      <w:r>
        <w:rPr>
          <w:rFonts w:eastAsia="Times New Roman" w:cs="Arial"/>
          <w:lang w:eastAsia="en-GB"/>
        </w:rPr>
        <w:t>T3</w:t>
      </w:r>
      <w:proofErr w:type="spellEnd"/>
      <w:r>
        <w:rPr>
          <w:rFonts w:eastAsia="Times New Roman" w:cs="Arial"/>
          <w:lang w:eastAsia="en-GB"/>
        </w:rPr>
        <w:t>/7”.</w:t>
      </w:r>
    </w:p>
    <w:p>
      <w:pPr>
        <w:spacing w:after="0" w:line="360" w:lineRule="auto"/>
        <w:rPr>
          <w:rFonts w:eastAsia="Times New Roman" w:cs="Arial"/>
          <w:i/>
          <w:iCs/>
          <w:u w:val="single"/>
          <w:lang w:eastAsia="en-GB"/>
        </w:rPr>
      </w:pPr>
    </w:p>
    <w:p>
      <w:pPr>
        <w:spacing w:after="0" w:line="360" w:lineRule="auto"/>
        <w:rPr>
          <w:rFonts w:eastAsia="Times New Roman" w:cs="Arial"/>
          <w:lang w:eastAsia="en-GB"/>
        </w:rPr>
      </w:pPr>
      <w:r>
        <w:rPr>
          <w:rFonts w:eastAsia="Times New Roman" w:cs="Arial"/>
          <w:i/>
          <w:iCs/>
          <w:u w:val="single"/>
          <w:lang w:eastAsia="en-GB"/>
        </w:rPr>
        <w:t>Pre-reading</w:t>
      </w:r>
    </w:p>
    <w:p>
      <w:pPr>
        <w:numPr>
          <w:ilvl w:val="0"/>
          <w:numId w:val="6"/>
        </w:numPr>
        <w:spacing w:after="0" w:line="360" w:lineRule="auto"/>
        <w:rPr>
          <w:rFonts w:eastAsia="Times New Roman" w:cs="Arial"/>
          <w:lang w:eastAsia="en-GB"/>
        </w:rPr>
      </w:pPr>
      <w:r>
        <w:rPr>
          <w:rFonts w:eastAsia="Times New Roman" w:cs="Arial"/>
          <w:lang w:eastAsia="en-GB"/>
        </w:rPr>
        <w:t xml:space="preserve">The Court is invited to read: </w:t>
      </w:r>
    </w:p>
    <w:p>
      <w:pPr>
        <w:numPr>
          <w:ilvl w:val="1"/>
          <w:numId w:val="6"/>
        </w:numPr>
        <w:spacing w:after="0" w:line="360" w:lineRule="auto"/>
        <w:rPr>
          <w:rFonts w:eastAsia="Times New Roman" w:cs="Arial"/>
          <w:lang w:eastAsia="en-GB"/>
        </w:rPr>
      </w:pPr>
      <w:r>
        <w:rPr>
          <w:rFonts w:eastAsia="Times New Roman" w:cs="Arial"/>
          <w:lang w:eastAsia="en-GB"/>
        </w:rPr>
        <w:t>This Skeleton Argument […];</w:t>
      </w:r>
    </w:p>
    <w:p>
      <w:pPr>
        <w:numPr>
          <w:ilvl w:val="1"/>
          <w:numId w:val="6"/>
        </w:numPr>
        <w:spacing w:after="0" w:line="360" w:lineRule="auto"/>
        <w:rPr>
          <w:rFonts w:eastAsia="Times New Roman" w:cs="Arial"/>
          <w:lang w:eastAsia="en-GB"/>
        </w:rPr>
      </w:pPr>
      <w:r>
        <w:rPr>
          <w:rFonts w:eastAsia="Times New Roman" w:cs="Arial"/>
          <w:lang w:eastAsia="en-GB"/>
        </w:rPr>
        <w:t>[The Claimant’s Case Summary];</w:t>
      </w:r>
    </w:p>
    <w:p>
      <w:pPr>
        <w:numPr>
          <w:ilvl w:val="1"/>
          <w:numId w:val="6"/>
        </w:numPr>
        <w:spacing w:after="0" w:line="360" w:lineRule="auto"/>
        <w:rPr>
          <w:rFonts w:eastAsia="Times New Roman" w:cs="Arial"/>
          <w:lang w:eastAsia="en-GB"/>
        </w:rPr>
      </w:pPr>
      <w:r>
        <w:rPr>
          <w:rFonts w:eastAsia="Times New Roman" w:cs="Arial"/>
          <w:lang w:eastAsia="en-GB"/>
        </w:rPr>
        <w:t>The Claimant’s chronology;</w:t>
      </w:r>
    </w:p>
    <w:p>
      <w:pPr>
        <w:numPr>
          <w:ilvl w:val="1"/>
          <w:numId w:val="6"/>
        </w:numPr>
        <w:spacing w:after="0" w:line="360" w:lineRule="auto"/>
        <w:rPr>
          <w:rFonts w:eastAsia="Times New Roman" w:cs="Arial"/>
          <w:lang w:eastAsia="en-GB"/>
        </w:rPr>
      </w:pPr>
      <w:r>
        <w:rPr>
          <w:rFonts w:eastAsia="Times New Roman" w:cs="Arial"/>
          <w:lang w:eastAsia="en-GB"/>
        </w:rPr>
        <w:t>[Witness Statements];</w:t>
      </w:r>
    </w:p>
    <w:p>
      <w:pPr>
        <w:numPr>
          <w:ilvl w:val="1"/>
          <w:numId w:val="6"/>
        </w:numPr>
        <w:spacing w:after="0" w:line="360" w:lineRule="auto"/>
        <w:rPr>
          <w:rFonts w:eastAsia="Times New Roman" w:cs="Arial"/>
          <w:lang w:eastAsia="en-GB"/>
        </w:rPr>
      </w:pPr>
      <w:r>
        <w:rPr>
          <w:rFonts w:eastAsia="Times New Roman" w:cs="Arial"/>
          <w:lang w:eastAsia="en-GB"/>
        </w:rPr>
        <w:t>[any other important document].</w:t>
      </w:r>
    </w:p>
    <w:p>
      <w:pPr>
        <w:spacing w:after="0" w:line="360" w:lineRule="auto"/>
        <w:rPr>
          <w:rFonts w:eastAsia="Times New Roman" w:cs="Arial"/>
          <w:i/>
          <w:iCs/>
          <w:u w:val="single"/>
          <w:lang w:eastAsia="en-GB"/>
        </w:rPr>
      </w:pPr>
    </w:p>
    <w:p>
      <w:pPr>
        <w:spacing w:after="0" w:line="360" w:lineRule="auto"/>
        <w:rPr>
          <w:rFonts w:eastAsia="Times New Roman" w:cs="Arial"/>
          <w:lang w:eastAsia="en-GB"/>
        </w:rPr>
      </w:pPr>
      <w:r>
        <w:rPr>
          <w:rFonts w:eastAsia="Times New Roman" w:cs="Arial"/>
          <w:i/>
          <w:iCs/>
          <w:u w:val="single"/>
          <w:lang w:eastAsia="en-GB"/>
        </w:rPr>
        <w:t>The Law</w:t>
      </w:r>
    </w:p>
    <w:p>
      <w:pPr>
        <w:numPr>
          <w:ilvl w:val="0"/>
          <w:numId w:val="6"/>
        </w:numPr>
        <w:spacing w:after="0" w:line="360" w:lineRule="auto"/>
        <w:rPr>
          <w:rFonts w:eastAsia="Times New Roman" w:cs="Arial"/>
          <w:lang w:eastAsia="en-GB"/>
        </w:rPr>
      </w:pPr>
      <w:r>
        <w:rPr>
          <w:rFonts w:eastAsia="Times New Roman" w:cs="Arial"/>
          <w:lang w:eastAsia="en-GB"/>
        </w:rPr>
        <w:t>The jurisdiction to grant summary judgment is set out in the CPR 24.2:</w:t>
      </w:r>
      <w:r>
        <w:rPr>
          <w:rFonts w:eastAsia="Times New Roman" w:cs="Arial"/>
          <w:lang w:eastAsia="en-GB"/>
        </w:rPr>
        <w:br/>
      </w:r>
      <w:r>
        <w:rPr>
          <w:rFonts w:eastAsia="Times New Roman" w:cs="Arial"/>
          <w:i/>
          <w:iCs/>
          <w:lang w:eastAsia="en-GB"/>
        </w:rPr>
        <w:t>“The court may give summary judgment against a claimant or defendant on the whole of a claim or on a particular issue if –</w:t>
      </w:r>
      <w:r>
        <w:rPr>
          <w:rFonts w:eastAsia="Times New Roman" w:cs="Arial"/>
          <w:lang w:eastAsia="en-GB"/>
        </w:rPr>
        <w:br/>
      </w:r>
      <w:r>
        <w:rPr>
          <w:rFonts w:eastAsia="Times New Roman" w:cs="Arial"/>
          <w:i/>
          <w:iCs/>
          <w:lang w:eastAsia="en-GB"/>
        </w:rPr>
        <w:t>(a) it considers that –</w:t>
      </w:r>
      <w:r>
        <w:rPr>
          <w:rFonts w:eastAsia="Times New Roman" w:cs="Arial"/>
          <w:lang w:eastAsia="en-GB"/>
        </w:rPr>
        <w:t xml:space="preserve"> </w:t>
      </w:r>
      <w:r>
        <w:rPr>
          <w:rFonts w:eastAsia="Times New Roman" w:cs="Arial"/>
          <w:i/>
          <w:iCs/>
          <w:lang w:eastAsia="en-GB"/>
        </w:rPr>
        <w:t>(i) that claimant has no real prospect of succeeding on the claim or issue; or(ii) that defendant has no real prospect of successfully defending the claim or issue; and</w:t>
      </w:r>
      <w:r>
        <w:rPr>
          <w:rFonts w:eastAsia="Times New Roman" w:cs="Arial"/>
          <w:lang w:eastAsia="en-GB"/>
        </w:rPr>
        <w:br/>
      </w:r>
      <w:r>
        <w:rPr>
          <w:rFonts w:eastAsia="Times New Roman" w:cs="Arial"/>
          <w:i/>
          <w:iCs/>
          <w:lang w:eastAsia="en-GB"/>
        </w:rPr>
        <w:t>(b) there is no other compelling reason why the case or issue should be disposed of at a trial.”</w:t>
      </w:r>
    </w:p>
    <w:p>
      <w:pPr>
        <w:numPr>
          <w:ilvl w:val="0"/>
          <w:numId w:val="6"/>
        </w:numPr>
        <w:spacing w:after="0" w:line="360" w:lineRule="auto"/>
        <w:rPr>
          <w:rFonts w:eastAsia="Times New Roman" w:cs="Arial"/>
          <w:lang w:eastAsia="en-GB"/>
        </w:rPr>
      </w:pPr>
      <w:r>
        <w:rPr>
          <w:rFonts w:eastAsia="Times New Roman" w:cs="Arial"/>
          <w:lang w:eastAsia="en-GB"/>
        </w:rPr>
        <w:lastRenderedPageBreak/>
        <w:t>To resist an application for summary judgment, therefore, the Claimant/Respondent must show that there is a real prospect of succeeding on the claim.</w:t>
      </w:r>
    </w:p>
    <w:p>
      <w:pPr>
        <w:numPr>
          <w:ilvl w:val="0"/>
          <w:numId w:val="6"/>
        </w:numPr>
        <w:spacing w:after="0" w:line="360" w:lineRule="auto"/>
        <w:rPr>
          <w:rFonts w:eastAsia="Times New Roman" w:cs="Arial"/>
          <w:lang w:eastAsia="en-GB"/>
        </w:rPr>
      </w:pPr>
      <w:r>
        <w:rPr>
          <w:rFonts w:eastAsia="Times New Roman" w:cs="Arial"/>
          <w:lang w:eastAsia="en-GB"/>
        </w:rPr>
        <w:t xml:space="preserve">Numerous authorities have made clear that the Court will not conduct a ‘mini-trial’ at the summary judgment stage (see for example </w:t>
      </w:r>
      <w:r>
        <w:rPr>
          <w:rFonts w:eastAsia="Times New Roman" w:cs="Arial"/>
          <w:i/>
          <w:iCs/>
          <w:lang w:eastAsia="en-GB"/>
        </w:rPr>
        <w:t>Swain v Hillman</w:t>
      </w:r>
      <w:r>
        <w:rPr>
          <w:rFonts w:eastAsia="Times New Roman" w:cs="Arial"/>
          <w:lang w:eastAsia="en-GB"/>
        </w:rPr>
        <w:t xml:space="preserve"> [2001] 1 All ER 91 per Lord Woolf MR), and the task before the Court is not to weigh up the merits of the parties’ arguments, but rather to assess whether there is an ‘absence of reality’ in the Defendant’s case (per Lord Hobhouse in </w:t>
      </w:r>
      <w:r>
        <w:rPr>
          <w:rFonts w:eastAsia="Times New Roman" w:cs="Arial"/>
          <w:i/>
          <w:iCs/>
          <w:lang w:eastAsia="en-GB"/>
        </w:rPr>
        <w:t>Three Rivers DC v Bank of England [No 3]</w:t>
      </w:r>
      <w:r>
        <w:rPr>
          <w:rFonts w:eastAsia="Times New Roman" w:cs="Arial"/>
          <w:lang w:eastAsia="en-GB"/>
        </w:rPr>
        <w:t xml:space="preserve"> [2001] 2 All ER 513).</w:t>
      </w:r>
    </w:p>
    <w:p>
      <w:pPr>
        <w:spacing w:after="0" w:line="360" w:lineRule="auto"/>
        <w:ind w:left="720"/>
        <w:rPr>
          <w:rFonts w:eastAsia="Times New Roman" w:cs="Arial"/>
          <w:lang w:eastAsia="en-GB"/>
        </w:rPr>
      </w:pPr>
    </w:p>
    <w:p>
      <w:pPr>
        <w:spacing w:after="0" w:line="360" w:lineRule="auto"/>
        <w:rPr>
          <w:rFonts w:eastAsia="Times New Roman" w:cs="Arial"/>
          <w:lang w:eastAsia="en-GB"/>
        </w:rPr>
      </w:pPr>
      <w:r>
        <w:rPr>
          <w:rFonts w:eastAsia="Times New Roman" w:cs="Arial"/>
          <w:i/>
          <w:iCs/>
          <w:u w:val="single"/>
          <w:lang w:eastAsia="en-GB"/>
        </w:rPr>
        <w:t xml:space="preserve">The Facts </w:t>
      </w:r>
    </w:p>
    <w:p>
      <w:pPr>
        <w:numPr>
          <w:ilvl w:val="0"/>
          <w:numId w:val="6"/>
        </w:numPr>
        <w:spacing w:after="0" w:line="360" w:lineRule="auto"/>
        <w:rPr>
          <w:rFonts w:eastAsia="Times New Roman" w:cs="Arial"/>
          <w:lang w:eastAsia="en-GB"/>
        </w:rPr>
      </w:pPr>
      <w:r>
        <w:rPr>
          <w:rFonts w:eastAsia="Times New Roman" w:cs="Arial"/>
          <w:lang w:eastAsia="en-GB"/>
        </w:rPr>
        <w:t>In summary, the Claimant alleges […].</w:t>
      </w:r>
    </w:p>
    <w:p>
      <w:pPr>
        <w:numPr>
          <w:ilvl w:val="0"/>
          <w:numId w:val="6"/>
        </w:numPr>
        <w:spacing w:after="0" w:line="360" w:lineRule="auto"/>
        <w:rPr>
          <w:rFonts w:eastAsia="Times New Roman" w:cs="Arial"/>
          <w:lang w:eastAsia="en-GB"/>
        </w:rPr>
      </w:pPr>
      <w:r>
        <w:rPr>
          <w:rFonts w:eastAsia="Times New Roman" w:cs="Arial"/>
          <w:lang w:eastAsia="en-GB"/>
        </w:rPr>
        <w:t>The Defendant contends that […].</w:t>
      </w:r>
    </w:p>
    <w:p>
      <w:pPr>
        <w:spacing w:after="0" w:line="360" w:lineRule="auto"/>
        <w:rPr>
          <w:rFonts w:eastAsia="Times New Roman" w:cs="Arial"/>
          <w:i/>
          <w:iCs/>
          <w:u w:val="single"/>
          <w:lang w:eastAsia="en-GB"/>
        </w:rPr>
      </w:pPr>
    </w:p>
    <w:p>
      <w:pPr>
        <w:spacing w:after="0" w:line="360" w:lineRule="auto"/>
        <w:rPr>
          <w:rFonts w:eastAsia="Times New Roman" w:cs="Arial"/>
          <w:lang w:eastAsia="en-GB"/>
        </w:rPr>
      </w:pPr>
      <w:r>
        <w:rPr>
          <w:rFonts w:eastAsia="Times New Roman" w:cs="Arial"/>
          <w:i/>
          <w:iCs/>
          <w:u w:val="single"/>
          <w:lang w:eastAsia="en-GB"/>
        </w:rPr>
        <w:t>Submissions</w:t>
      </w:r>
    </w:p>
    <w:p>
      <w:pPr>
        <w:numPr>
          <w:ilvl w:val="0"/>
          <w:numId w:val="6"/>
        </w:numPr>
        <w:spacing w:after="0" w:line="360" w:lineRule="auto"/>
        <w:rPr>
          <w:rFonts w:eastAsia="Times New Roman" w:cs="Arial"/>
          <w:lang w:eastAsia="en-GB"/>
        </w:rPr>
      </w:pPr>
      <w:r>
        <w:rPr>
          <w:rFonts w:eastAsia="Times New Roman" w:cs="Arial"/>
          <w:lang w:eastAsia="en-GB"/>
        </w:rPr>
        <w:t xml:space="preserve">The claimant says that the case is unwinnable by the defendant </w:t>
      </w:r>
      <w:proofErr w:type="gramStart"/>
      <w:r>
        <w:rPr>
          <w:rFonts w:eastAsia="Times New Roman" w:cs="Arial"/>
          <w:lang w:eastAsia="en-GB"/>
        </w:rPr>
        <w:t>on the grounds that</w:t>
      </w:r>
      <w:proofErr w:type="gramEnd"/>
      <w:r>
        <w:rPr>
          <w:rFonts w:eastAsia="Times New Roman" w:cs="Arial"/>
          <w:lang w:eastAsia="en-GB"/>
        </w:rPr>
        <w:t xml:space="preserve">: </w:t>
      </w:r>
    </w:p>
    <w:p>
      <w:pPr>
        <w:numPr>
          <w:ilvl w:val="1"/>
          <w:numId w:val="6"/>
        </w:numPr>
        <w:spacing w:after="0" w:line="360" w:lineRule="auto"/>
        <w:rPr>
          <w:rFonts w:eastAsia="Times New Roman" w:cs="Arial"/>
          <w:lang w:eastAsia="en-GB"/>
        </w:rPr>
      </w:pPr>
      <w:r>
        <w:rPr>
          <w:rFonts w:eastAsia="Times New Roman" w:cs="Arial"/>
          <w:lang w:eastAsia="en-GB"/>
        </w:rPr>
        <w:t>[…];</w:t>
      </w:r>
    </w:p>
    <w:p>
      <w:pPr>
        <w:numPr>
          <w:ilvl w:val="1"/>
          <w:numId w:val="6"/>
        </w:numPr>
        <w:spacing w:after="0" w:line="360" w:lineRule="auto"/>
        <w:rPr>
          <w:rFonts w:eastAsia="Times New Roman" w:cs="Arial"/>
          <w:lang w:eastAsia="en-GB"/>
        </w:rPr>
      </w:pPr>
      <w:r>
        <w:rPr>
          <w:rFonts w:eastAsia="Times New Roman" w:cs="Arial"/>
          <w:lang w:eastAsia="en-GB"/>
        </w:rPr>
        <w:t>[…];</w:t>
      </w:r>
    </w:p>
    <w:p>
      <w:pPr>
        <w:numPr>
          <w:ilvl w:val="1"/>
          <w:numId w:val="6"/>
        </w:numPr>
        <w:spacing w:after="0" w:line="360" w:lineRule="auto"/>
        <w:rPr>
          <w:rFonts w:eastAsia="Times New Roman" w:cs="Arial"/>
          <w:lang w:eastAsia="en-GB"/>
        </w:rPr>
      </w:pPr>
      <w:r>
        <w:rPr>
          <w:rFonts w:eastAsia="Times New Roman" w:cs="Arial"/>
          <w:lang w:eastAsia="en-GB"/>
        </w:rPr>
        <w:t>[…].</w:t>
      </w:r>
    </w:p>
    <w:p>
      <w:pPr>
        <w:spacing w:after="0" w:line="360" w:lineRule="auto"/>
        <w:ind w:left="1134"/>
        <w:rPr>
          <w:rFonts w:eastAsia="Times New Roman" w:cs="Arial"/>
          <w:lang w:eastAsia="en-GB"/>
        </w:rPr>
      </w:pPr>
    </w:p>
    <w:p>
      <w:pPr>
        <w:numPr>
          <w:ilvl w:val="0"/>
          <w:numId w:val="6"/>
        </w:numPr>
        <w:spacing w:after="0" w:line="360" w:lineRule="auto"/>
        <w:rPr>
          <w:rFonts w:eastAsia="Times New Roman" w:cs="Arial"/>
          <w:lang w:eastAsia="en-GB"/>
        </w:rPr>
      </w:pPr>
      <w:r>
        <w:rPr>
          <w:rFonts w:eastAsia="Times New Roman" w:cs="Arial"/>
          <w:lang w:eastAsia="en-GB"/>
        </w:rPr>
        <w:t>There is plainly no arguable defence to the claim.</w:t>
      </w:r>
    </w:p>
    <w:p>
      <w:pPr>
        <w:spacing w:after="0" w:line="360" w:lineRule="auto"/>
        <w:ind w:left="720"/>
        <w:rPr>
          <w:rFonts w:eastAsia="Times New Roman" w:cs="Arial"/>
          <w:lang w:eastAsia="en-GB"/>
        </w:rPr>
      </w:pPr>
    </w:p>
    <w:p>
      <w:pPr>
        <w:spacing w:after="0" w:line="360" w:lineRule="auto"/>
        <w:rPr>
          <w:rFonts w:eastAsia="Times New Roman" w:cs="Arial"/>
          <w:lang w:eastAsia="en-GB"/>
        </w:rPr>
      </w:pPr>
      <w:r>
        <w:rPr>
          <w:rFonts w:eastAsia="Times New Roman" w:cs="Arial"/>
          <w:i/>
          <w:iCs/>
          <w:u w:val="single"/>
          <w:lang w:eastAsia="en-GB"/>
        </w:rPr>
        <w:t xml:space="preserve">Conclusion </w:t>
      </w:r>
    </w:p>
    <w:p>
      <w:pPr>
        <w:numPr>
          <w:ilvl w:val="0"/>
          <w:numId w:val="6"/>
        </w:numPr>
        <w:spacing w:after="0" w:line="360" w:lineRule="auto"/>
        <w:rPr>
          <w:rFonts w:eastAsia="Times New Roman" w:cs="Arial"/>
          <w:lang w:eastAsia="en-GB"/>
        </w:rPr>
      </w:pPr>
      <w:r>
        <w:rPr>
          <w:rFonts w:eastAsia="Times New Roman" w:cs="Arial"/>
          <w:lang w:eastAsia="en-GB"/>
        </w:rPr>
        <w:t xml:space="preserve">For all these reasons, Summary Judgment should </w:t>
      </w:r>
      <w:proofErr w:type="gramStart"/>
      <w:r>
        <w:rPr>
          <w:rFonts w:eastAsia="Times New Roman" w:cs="Arial"/>
          <w:lang w:eastAsia="en-GB"/>
        </w:rPr>
        <w:t>granted</w:t>
      </w:r>
      <w:proofErr w:type="gramEnd"/>
      <w:r>
        <w:rPr>
          <w:rFonts w:eastAsia="Times New Roman" w:cs="Arial"/>
          <w:lang w:eastAsia="en-GB"/>
        </w:rPr>
        <w:t xml:space="preserve"> to the Claimant on the Claim.</w:t>
      </w:r>
    </w:p>
    <w:p>
      <w:pPr>
        <w:spacing w:after="0" w:line="360" w:lineRule="auto"/>
        <w:rPr>
          <w:rFonts w:eastAsia="Times New Roman" w:cs="Arial"/>
          <w:lang w:eastAsia="en-GB"/>
        </w:rPr>
      </w:pPr>
    </w:p>
    <w:p>
      <w:pPr>
        <w:spacing w:after="0" w:line="360" w:lineRule="auto"/>
        <w:rPr>
          <w:rFonts w:eastAsia="Times New Roman" w:cs="Arial"/>
          <w:lang w:eastAsia="en-GB"/>
        </w:rPr>
      </w:pPr>
    </w:p>
    <w:p>
      <w:pPr>
        <w:spacing w:after="0" w:line="360" w:lineRule="auto"/>
        <w:rPr>
          <w:rFonts w:eastAsia="Times New Roman" w:cs="Arial"/>
          <w:lang w:eastAsia="en-GB"/>
        </w:rPr>
      </w:pPr>
      <w:r>
        <w:rPr>
          <w:rFonts w:eastAsia="Times New Roman" w:cs="Arial"/>
          <w:lang w:eastAsia="en-GB"/>
        </w:rPr>
        <w:t>[name of person drafting skeleton argument]</w:t>
      </w:r>
    </w:p>
    <w:p>
      <w:pPr>
        <w:spacing w:after="0" w:line="360" w:lineRule="auto"/>
        <w:rPr>
          <w:rFonts w:eastAsia="Times New Roman" w:cs="Arial"/>
          <w:lang w:eastAsia="en-GB"/>
        </w:rPr>
      </w:pPr>
      <w:r>
        <w:rPr>
          <w:rFonts w:eastAsia="Times New Roman" w:cs="Arial"/>
          <w:lang w:eastAsia="en-GB"/>
        </w:rPr>
        <w:t>[date]</w:t>
      </w:r>
    </w:p>
    <w:p>
      <w:pPr>
        <w:spacing w:after="0" w:line="360" w:lineRule="auto"/>
        <w:rPr>
          <w:rFonts w:eastAsia="Times New Roman" w:cs="Arial"/>
          <w:lang w:eastAsia="en-GB"/>
        </w:rPr>
      </w:pPr>
      <w:r>
        <w:rPr>
          <w:rFonts w:eastAsia="Times New Roman" w:cs="Arial"/>
          <w:lang w:eastAsia="en-GB"/>
        </w:rPr>
        <w:t>For the [Claimant | Defendant]</w:t>
      </w:r>
    </w:p>
    <w:p>
      <w:pPr>
        <w:rPr>
          <w:rFonts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578"/>
    <w:multiLevelType w:val="multilevel"/>
    <w:tmpl w:val="F4A882A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227F7"/>
    <w:multiLevelType w:val="multilevel"/>
    <w:tmpl w:val="F4A88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E2C0F"/>
    <w:multiLevelType w:val="multilevel"/>
    <w:tmpl w:val="14C89134"/>
    <w:lvl w:ilvl="0">
      <w:start w:val="1"/>
      <w:numFmt w:val="decimal"/>
      <w:lvlText w:val="%1"/>
      <w:lvlJc w:val="left"/>
      <w:pPr>
        <w:ind w:left="720" w:hanging="72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474" w:hanging="34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6CC7DD3"/>
    <w:multiLevelType w:val="multilevel"/>
    <w:tmpl w:val="F4A882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7278C"/>
    <w:multiLevelType w:val="multilevel"/>
    <w:tmpl w:val="F4A882AC"/>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21F9C"/>
    <w:multiLevelType w:val="multilevel"/>
    <w:tmpl w:val="F4A882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B64672"/>
    <w:multiLevelType w:val="multilevel"/>
    <w:tmpl w:val="F4A882A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9709C0"/>
    <w:multiLevelType w:val="multilevel"/>
    <w:tmpl w:val="F4A882A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53CCF"/>
    <w:multiLevelType w:val="multilevel"/>
    <w:tmpl w:val="4D288CA6"/>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418"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C12EE5"/>
    <w:multiLevelType w:val="multilevel"/>
    <w:tmpl w:val="F4A882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AB6D7A"/>
    <w:multiLevelType w:val="multilevel"/>
    <w:tmpl w:val="F4A882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239BB"/>
    <w:multiLevelType w:val="multilevel"/>
    <w:tmpl w:val="F274F53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418" w:hanging="397"/>
      </w:pPr>
      <w:rPr>
        <w:rFonts w:hint="default"/>
      </w:rPr>
    </w:lvl>
    <w:lvl w:ilvl="3">
      <w:start w:val="1"/>
      <w:numFmt w:val="decimal"/>
      <w:lvlText w:val="%4."/>
      <w:lvlJc w:val="left"/>
      <w:pPr>
        <w:ind w:left="2098"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C150C8B"/>
    <w:multiLevelType w:val="multilevel"/>
    <w:tmpl w:val="5EB82EA0"/>
    <w:styleLink w:val="List-Style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021" w:hanging="454"/>
      </w:pPr>
      <w:rPr>
        <w:rFonts w:hint="default"/>
      </w:rPr>
    </w:lvl>
    <w:lvl w:ilvl="3">
      <w:start w:val="1"/>
      <w:numFmt w:val="lowerRoman"/>
      <w:lvlText w:val="%4."/>
      <w:lvlJc w:val="left"/>
      <w:pPr>
        <w:ind w:left="1418" w:hanging="397"/>
      </w:pPr>
      <w:rPr>
        <w:rFonts w:hint="default"/>
      </w:rPr>
    </w:lvl>
    <w:lvl w:ilvl="4">
      <w:start w:val="1"/>
      <w:numFmt w:val="decimal"/>
      <w:lvlText w:val="%5."/>
      <w:lvlJc w:val="left"/>
      <w:pPr>
        <w:ind w:left="1814" w:hanging="39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1">
      <w:startOverride w:val="1"/>
    </w:lvlOverride>
  </w:num>
  <w:num w:numId="6">
    <w:abstractNumId w:val="2"/>
  </w:num>
  <w:num w:numId="7">
    <w:abstractNumId w:val="1"/>
  </w:num>
  <w:num w:numId="8">
    <w:abstractNumId w:val="7"/>
  </w:num>
  <w:num w:numId="9">
    <w:abstractNumId w:val="3"/>
  </w:num>
  <w:num w:numId="10">
    <w:abstractNumId w:val="6"/>
  </w:num>
  <w:num w:numId="11">
    <w:abstractNumId w:val="5"/>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4D137-BED2-4FD2-B632-523BBCA3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Arial" w:hAnsi="Arial"/>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semiHidden/>
    <w:rPr>
      <w:rFonts w:ascii="Arial" w:eastAsiaTheme="majorEastAsia" w:hAnsi="Arial" w:cstheme="majorBidi"/>
      <w:color w:val="000000" w:themeColor="text1"/>
      <w:sz w:val="32"/>
      <w:szCs w:val="26"/>
    </w:rPr>
  </w:style>
  <w:style w:type="character" w:customStyle="1" w:styleId="Heading3Char">
    <w:name w:val="Heading 3 Char"/>
    <w:basedOn w:val="DefaultParagraphFont"/>
    <w:link w:val="Heading3"/>
    <w:uiPriority w:val="9"/>
    <w:rPr>
      <w:rFonts w:ascii="Arial" w:eastAsiaTheme="majorEastAsia" w:hAnsi="Arial" w:cstheme="majorBidi"/>
      <w:color w:val="000000" w:themeColor="text1"/>
      <w:sz w:val="28"/>
      <w:szCs w:val="24"/>
    </w:rPr>
  </w:style>
  <w:style w:type="paragraph" w:styleId="ListParagraph">
    <w:name w:val="List Paragraph"/>
    <w:basedOn w:val="Normal"/>
    <w:uiPriority w:val="34"/>
    <w:qFormat/>
  </w:style>
  <w:style w:type="numbering" w:customStyle="1" w:styleId="List-StyleA">
    <w:name w:val="List - Style A"/>
    <w:uiPriority w:val="9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LE2</dc:creator>
  <cp:keywords/>
  <dc:description/>
  <cp:lastModifiedBy>LE3</cp:lastModifiedBy>
  <cp:revision>5</cp:revision>
  <dcterms:created xsi:type="dcterms:W3CDTF">2018-07-12T17:38:00Z</dcterms:created>
  <dcterms:modified xsi:type="dcterms:W3CDTF">2018-07-30T18:52:00Z</dcterms:modified>
</cp:coreProperties>
</file>